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56"/>
        <w:tblW w:w="13462" w:type="dxa"/>
        <w:tblLook w:val="04A0" w:firstRow="1" w:lastRow="0" w:firstColumn="1" w:lastColumn="0" w:noHBand="0" w:noVBand="1"/>
      </w:tblPr>
      <w:tblGrid>
        <w:gridCol w:w="702"/>
        <w:gridCol w:w="4067"/>
        <w:gridCol w:w="1244"/>
        <w:gridCol w:w="977"/>
        <w:gridCol w:w="1120"/>
        <w:gridCol w:w="3937"/>
        <w:gridCol w:w="1415"/>
      </w:tblGrid>
      <w:tr w:rsidR="00591AC1" w:rsidRPr="00AE7DDA" w:rsidTr="00697EAD">
        <w:tc>
          <w:tcPr>
            <w:tcW w:w="704" w:type="dxa"/>
          </w:tcPr>
          <w:p w:rsidR="00591AC1" w:rsidRPr="00AE7DDA" w:rsidRDefault="00591AC1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8" w:type="dxa"/>
            <w:gridSpan w:val="6"/>
          </w:tcPr>
          <w:p w:rsidR="00591AC1" w:rsidRDefault="00591AC1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TTHC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QLCN&amp;TĐC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4110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</w:p>
        </w:tc>
        <w:tc>
          <w:tcPr>
            <w:tcW w:w="993" w:type="dxa"/>
          </w:tcPr>
          <w:p w:rsidR="004A48C0" w:rsidRPr="006F00D5" w:rsidRDefault="006F00D5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Công chức phụ trách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đăng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ký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trừ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những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A94A94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thuộc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thẩm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quyền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);</w:t>
            </w:r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6B5E6E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E6E">
              <w:rPr>
                <w:rFonts w:ascii="Times New Roman" w:hAnsi="Times New Roman" w:cs="Times New Roman"/>
                <w:sz w:val="26"/>
                <w:szCs w:val="26"/>
              </w:rPr>
              <w:t xml:space="preserve">05 </w:t>
            </w:r>
            <w:proofErr w:type="spellStart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7B3B92" w:rsidRDefault="007B3B92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Ngọc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đăng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ký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gia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hạn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sửa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đổi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bổ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sung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nội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dung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trừ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những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thuộc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thẩm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quyền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  <w:r w:rsidRPr="00A94A94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;</w:t>
            </w:r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6B5E6E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5E6E">
              <w:rPr>
                <w:rFonts w:ascii="Times New Roman" w:hAnsi="Times New Roman" w:cs="Times New Roman"/>
                <w:sz w:val="26"/>
                <w:szCs w:val="26"/>
              </w:rPr>
              <w:t xml:space="preserve">05 </w:t>
            </w:r>
            <w:proofErr w:type="spellStart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5E6E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7B3B92" w:rsidRDefault="007B3B92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Ngọc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doanh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nghiệp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830889" w:rsidRPr="00830889" w:rsidRDefault="00830889" w:rsidP="00830889">
            <w:pPr>
              <w:pStyle w:val="ListParagraph"/>
              <w:numPr>
                <w:ilvl w:val="0"/>
                <w:numId w:val="1"/>
              </w:numPr>
              <w:tabs>
                <w:tab w:val="left" w:pos="209"/>
              </w:tabs>
              <w:spacing w:before="60" w:after="60"/>
              <w:ind w:left="0" w:firstLine="0"/>
              <w:jc w:val="both"/>
              <w:rPr>
                <w:sz w:val="26"/>
                <w:szCs w:val="26"/>
              </w:rPr>
            </w:pPr>
            <w:r w:rsidRPr="00D03B67">
              <w:rPr>
                <w:b/>
                <w:bCs/>
                <w:sz w:val="26"/>
                <w:szCs w:val="26"/>
                <w:lang w:val="vi-VN"/>
              </w:rPr>
              <w:t>09</w:t>
            </w:r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ngày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làm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việc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kể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từ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ngày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nhận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được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hồ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nl-NL"/>
              </w:rPr>
              <w:t>sơ</w:t>
            </w:r>
            <w:proofErr w:type="spellEnd"/>
            <w:r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nl-NL"/>
              </w:rPr>
              <w:t>hợp</w:t>
            </w:r>
            <w:proofErr w:type="spellEnd"/>
            <w:r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nl-NL"/>
              </w:rPr>
              <w:t>lệ</w:t>
            </w:r>
            <w:proofErr w:type="spellEnd"/>
            <w:r>
              <w:rPr>
                <w:sz w:val="26"/>
                <w:szCs w:val="26"/>
                <w:lang w:val="nl-NL"/>
              </w:rPr>
              <w:t>;</w:t>
            </w:r>
          </w:p>
          <w:p w:rsidR="004A48C0" w:rsidRPr="006B5E6E" w:rsidRDefault="00830889" w:rsidP="00830889">
            <w:pPr>
              <w:pStyle w:val="ListParagraph"/>
              <w:numPr>
                <w:ilvl w:val="0"/>
                <w:numId w:val="1"/>
              </w:numPr>
              <w:tabs>
                <w:tab w:val="left" w:pos="209"/>
              </w:tabs>
              <w:spacing w:before="60" w:after="60"/>
              <w:ind w:left="0" w:firstLine="0"/>
              <w:jc w:val="both"/>
              <w:rPr>
                <w:sz w:val="26"/>
                <w:szCs w:val="26"/>
              </w:rPr>
            </w:pPr>
            <w:proofErr w:type="spellStart"/>
            <w:r w:rsidRPr="00D03B67">
              <w:rPr>
                <w:sz w:val="26"/>
                <w:szCs w:val="26"/>
                <w:lang w:val="nl-NL"/>
              </w:rPr>
              <w:t>Trường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hợp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kết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quả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khoa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học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và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công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nghệ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có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liên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quan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đến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nhiều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ngành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lĩnh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vực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khác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nhau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có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nội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dung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phức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tạp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cần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mời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chuyên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gia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hoặc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thành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lập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hội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đồng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tư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vấn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thẩm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định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đánh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giá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thời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hạn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cấp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giấy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chứng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nhận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doanh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nghiệp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khoa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học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và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công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nghệ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không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quá </w:t>
            </w:r>
            <w:r w:rsidRPr="00D03B67">
              <w:rPr>
                <w:b/>
                <w:bCs/>
                <w:sz w:val="26"/>
                <w:szCs w:val="26"/>
                <w:lang w:val="nl-NL"/>
              </w:rPr>
              <w:t>1</w:t>
            </w:r>
            <w:r w:rsidRPr="00D03B67">
              <w:rPr>
                <w:b/>
                <w:bCs/>
                <w:sz w:val="26"/>
                <w:szCs w:val="26"/>
                <w:lang w:val="vi-VN"/>
              </w:rPr>
              <w:t>4</w:t>
            </w:r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ngày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làm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việc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kể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từ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ngày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nhận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được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hồ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sơ</w:t>
            </w:r>
            <w:proofErr w:type="spellEnd"/>
            <w:r w:rsidRPr="00D03B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D03B67">
              <w:rPr>
                <w:sz w:val="26"/>
                <w:szCs w:val="26"/>
                <w:lang w:val="nl-NL"/>
              </w:rPr>
              <w:t>hợp</w:t>
            </w:r>
            <w:proofErr w:type="spellEnd"/>
            <w:r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nl-NL"/>
              </w:rPr>
              <w:t>lệ</w:t>
            </w:r>
            <w:proofErr w:type="spellEnd"/>
            <w:r>
              <w:rPr>
                <w:sz w:val="26"/>
                <w:szCs w:val="26"/>
                <w:lang w:val="nl-NL"/>
              </w:rPr>
              <w:t>;</w:t>
            </w:r>
          </w:p>
        </w:tc>
        <w:tc>
          <w:tcPr>
            <w:tcW w:w="993" w:type="dxa"/>
          </w:tcPr>
          <w:p w:rsidR="006F00D5" w:rsidRPr="007B3B92" w:rsidRDefault="007B3B92" w:rsidP="006F00D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Trinh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thay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đổi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nội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dung,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lại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doanh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nghiệp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Style w:val="Emphasis"/>
                <w:rFonts w:ascii="Times New Roman" w:hAnsi="Times New Roman" w:cs="Times New Roman"/>
                <w:color w:val="FF0000"/>
                <w:sz w:val="26"/>
                <w:szCs w:val="26"/>
              </w:rPr>
              <w:t>;</w:t>
            </w:r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BB0F79" w:rsidRPr="006B5E6E" w:rsidRDefault="00BB0F79" w:rsidP="00BB0F79">
            <w:pPr>
              <w:pStyle w:val="ListParagraph"/>
              <w:numPr>
                <w:ilvl w:val="0"/>
                <w:numId w:val="1"/>
              </w:numPr>
              <w:tabs>
                <w:tab w:val="left" w:pos="209"/>
              </w:tabs>
              <w:spacing w:before="60" w:after="60"/>
              <w:ind w:left="0" w:firstLine="0"/>
              <w:jc w:val="both"/>
              <w:rPr>
                <w:sz w:val="26"/>
                <w:szCs w:val="26"/>
                <w:lang w:val="nl-NL"/>
              </w:rPr>
            </w:pPr>
            <w:r w:rsidRPr="006B5E6E">
              <w:rPr>
                <w:sz w:val="26"/>
                <w:szCs w:val="26"/>
                <w:lang w:val="vi-VN"/>
              </w:rPr>
              <w:t>05</w:t>
            </w:r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ngày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làm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việc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kể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từ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ngày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nhận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được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hồ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sơ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hợp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6B5E6E">
              <w:rPr>
                <w:sz w:val="26"/>
                <w:szCs w:val="26"/>
                <w:lang w:val="nl-NL"/>
              </w:rPr>
              <w:t>lệ</w:t>
            </w:r>
            <w:proofErr w:type="spellEnd"/>
            <w:r w:rsidRPr="006B5E6E">
              <w:rPr>
                <w:sz w:val="26"/>
                <w:szCs w:val="26"/>
                <w:lang w:val="nl-NL"/>
              </w:rPr>
              <w:t>;</w:t>
            </w:r>
          </w:p>
          <w:p w:rsidR="004A48C0" w:rsidRPr="006B5E6E" w:rsidRDefault="006B5E6E" w:rsidP="006B5E6E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6B5E6E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BB0F79" w:rsidRPr="006B5E6E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Trường hợp bổ sung sản phẩm hình thành từ kết quả khoa học và công nghệ, thời hạn cấp thay đổi nội </w:t>
            </w:r>
            <w:r w:rsidR="00BB0F79" w:rsidRPr="006B5E6E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shd w:val="clear" w:color="auto" w:fill="FFFFFF"/>
                <w:lang w:val="vi-VN"/>
              </w:rPr>
              <w:lastRenderedPageBreak/>
              <w:t xml:space="preserve">dung Giấy chứng nhận doanh nghiệp khoa học và công nghệ không quá 10 ngày làm việc kể từ ngày nhận được hồ sơ </w:t>
            </w:r>
            <w:proofErr w:type="spellStart"/>
            <w:r w:rsidR="00BB0F79" w:rsidRPr="006B5E6E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lệ</w:t>
            </w:r>
            <w:proofErr w:type="spellEnd"/>
            <w:r w:rsidR="00BB0F79" w:rsidRPr="006B5E6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:rsidR="004A48C0" w:rsidRPr="007B3B92" w:rsidRDefault="007B3B92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Trinh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khuyến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khích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E93E47" w:rsidP="006B5E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76194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993" w:type="dxa"/>
          </w:tcPr>
          <w:p w:rsidR="004A48C0" w:rsidRPr="00BE36A2" w:rsidRDefault="00BE36A2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Ngọc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sửa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đổi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bổ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sung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khuyến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khích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2C2B57" w:rsidRPr="009677A1" w:rsidRDefault="002C2B57" w:rsidP="002C2B57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- 10</w:t>
            </w:r>
            <w:r w:rsidR="007B3B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A48C0" w:rsidRPr="00AE7DDA" w:rsidRDefault="002C2B57" w:rsidP="002C2B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- 15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đối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với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hợp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thay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đổi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công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nghệ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sản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công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nghệ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hoặc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quy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mô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sản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lượng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chuẩn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chất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lượng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sản</w:t>
            </w:r>
            <w:proofErr w:type="spellEnd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9677A1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proofErr w:type="spellEnd"/>
            <w:r w:rsidRPr="009677A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993" w:type="dxa"/>
          </w:tcPr>
          <w:p w:rsidR="004A48C0" w:rsidRPr="00BE36A2" w:rsidRDefault="00BE36A2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Ngọc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lại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khuyến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khích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FC767E" w:rsidP="00FC76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05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C2B57" w:rsidRPr="002F73BC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993" w:type="dxa"/>
          </w:tcPr>
          <w:p w:rsidR="004A48C0" w:rsidRPr="00BE36A2" w:rsidRDefault="00BE36A2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Ngọc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94A94" w:rsidRDefault="004A48C0" w:rsidP="00193747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</w:p>
        </w:tc>
        <w:tc>
          <w:tcPr>
            <w:tcW w:w="4253" w:type="dxa"/>
          </w:tcPr>
          <w:p w:rsidR="004A48C0" w:rsidRPr="00A94A94" w:rsidRDefault="004A48C0" w:rsidP="0019374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khai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báo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bị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X-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đoán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y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4A48C0" w:rsidP="00FC7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945379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Sang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chỉ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nhân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viên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đối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với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người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phụ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trách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an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toàn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sở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X-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đoán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y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4A48C0" w:rsidP="00FC7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945379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Khoa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253" w:type="dxa"/>
          </w:tcPr>
          <w:p w:rsidR="004A48C0" w:rsidRPr="00A94A94" w:rsidRDefault="004A48C0" w:rsidP="0019374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phép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hành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việc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bị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X-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đoán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y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4A48C0" w:rsidP="00FC7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  <w:r w:rsidR="00FC76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945379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Khoa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253" w:type="dxa"/>
          </w:tcPr>
          <w:p w:rsidR="004A48C0" w:rsidRPr="00A94A94" w:rsidRDefault="004A48C0" w:rsidP="0019374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A94A9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</w:t>
            </w:r>
            <w:proofErr w:type="spellEnd"/>
            <w:proofErr w:type="gram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phép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hành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việc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bị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X-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đoán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y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:rsidR="004A48C0" w:rsidRDefault="004A48C0" w:rsidP="00D55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FC767E" w:rsidP="00FC7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AE7DDA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Khoa</w:t>
            </w:r>
          </w:p>
        </w:tc>
      </w:tr>
      <w:tr w:rsidR="00593BE5" w:rsidRPr="00AE7DDA" w:rsidTr="005C151D">
        <w:trPr>
          <w:trHeight w:val="582"/>
        </w:trPr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sửa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đổi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phép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hành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việc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bị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X-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đoán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y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FC767E" w:rsidP="00FC7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9,5 </w:t>
            </w:r>
            <w:proofErr w:type="spellStart"/>
            <w:r w:rsidR="004A48C0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4A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48C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4A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48C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AE7DDA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Khoa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cấp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lại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phép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hành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việc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bị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X-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đoán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y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:rsidR="004A48C0" w:rsidRDefault="004A48C0" w:rsidP="00D55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FC767E" w:rsidP="00FC7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9,5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AE7DDA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Khoa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bổ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sung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Giấy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phép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hành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việc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bị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X-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quang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đoán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y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DDA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:rsidR="004A48C0" w:rsidRDefault="004A48C0" w:rsidP="00D559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Pr="00AE7DDA" w:rsidRDefault="00FC767E" w:rsidP="00FC76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17,5 </w:t>
            </w:r>
            <w:proofErr w:type="spellStart"/>
            <w:r w:rsidR="004A48C0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4A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48C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4A48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48C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AE7DDA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Khoa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253" w:type="dxa"/>
          </w:tcPr>
          <w:p w:rsidR="004A48C0" w:rsidRPr="00AE7DDA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hỗ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trợ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phát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triển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trung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thị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KH&amp;CN</w:t>
            </w:r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110" w:type="dxa"/>
          </w:tcPr>
          <w:p w:rsidR="006B5E6E" w:rsidRPr="00DF1DCD" w:rsidRDefault="006B5E6E" w:rsidP="006B5E6E">
            <w:pPr>
              <w:pStyle w:val="BodyTex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vấn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4A48C0" w:rsidRPr="00AE7DDA" w:rsidRDefault="006B5E6E" w:rsidP="00FC76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593BE5" w:rsidRDefault="00593BE5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Chưa phát sinh hs/phân công cho công chức liên quan lĩnh vực phụ trách</w:t>
            </w:r>
          </w:p>
          <w:p w:rsidR="004A48C0" w:rsidRPr="00945379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253" w:type="dxa"/>
          </w:tcPr>
          <w:p w:rsidR="004A48C0" w:rsidRPr="00473144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hỗ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trợ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doanh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nghiệp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thuộc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ngành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nghề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ưu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đãi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đầu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địa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ưu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đãi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đầu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từ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KH&amp;CN</w:t>
            </w:r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110" w:type="dxa"/>
          </w:tcPr>
          <w:p w:rsidR="006B5E6E" w:rsidRPr="00DF1DCD" w:rsidRDefault="006B5E6E" w:rsidP="006B5E6E">
            <w:pPr>
              <w:pStyle w:val="BodyTex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vấn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4A48C0" w:rsidRPr="00AE7DDA" w:rsidRDefault="006B5E6E" w:rsidP="00FC76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593BE5" w:rsidRDefault="00593BE5" w:rsidP="00593B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Chưa phát sinh hs/phân công cho công chức liên quan lĩnh vực phụ trách</w:t>
            </w:r>
          </w:p>
          <w:p w:rsidR="004A48C0" w:rsidRPr="00945379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253" w:type="dxa"/>
          </w:tcPr>
          <w:p w:rsidR="004A48C0" w:rsidRPr="00C97714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hỗ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trợ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doanh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nghiệp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nhân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giải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mã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110" w:type="dxa"/>
          </w:tcPr>
          <w:p w:rsidR="006B5E6E" w:rsidRPr="00DF1DCD" w:rsidRDefault="006B5E6E" w:rsidP="006B5E6E">
            <w:pPr>
              <w:pStyle w:val="BodyTex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vấn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4A48C0" w:rsidRPr="00AE7DDA" w:rsidRDefault="006B5E6E" w:rsidP="00FC76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593BE5" w:rsidRDefault="00593BE5" w:rsidP="00593B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Chưa phát sinh hs/phân công cho công chức liên quan lĩnh vực phụ trách</w:t>
            </w:r>
          </w:p>
          <w:p w:rsidR="004A48C0" w:rsidRPr="00945379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253" w:type="dxa"/>
          </w:tcPr>
          <w:p w:rsidR="004A48C0" w:rsidRPr="00C97714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hỗ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trợ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KH&amp;CN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hoạt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động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liên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với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chức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ứng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chuyển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địa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phương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để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hoàn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thiện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quả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nghiên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cứu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phát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triển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110" w:type="dxa"/>
          </w:tcPr>
          <w:p w:rsidR="006B5E6E" w:rsidRPr="00DF1DCD" w:rsidRDefault="006B5E6E" w:rsidP="006B5E6E">
            <w:pPr>
              <w:pStyle w:val="BodyTex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vấn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4A48C0" w:rsidRPr="00AE7DDA" w:rsidRDefault="006B5E6E" w:rsidP="00FC767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cổng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1DCD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phê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duyệt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khoa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 w:rsidRPr="00DF1D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593BE5" w:rsidRDefault="00593BE5" w:rsidP="00593B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Chưa phát sinh hs/phân công cho công chức liên quan lĩnh vực phụ trách</w:t>
            </w:r>
          </w:p>
          <w:p w:rsidR="004A48C0" w:rsidRPr="00945379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253" w:type="dxa"/>
          </w:tcPr>
          <w:p w:rsidR="004A48C0" w:rsidRPr="00C97714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xác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hàng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hóa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trực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phát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triển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hoạt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động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ươm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ươm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doanh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nghiệp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KH&amp;CN</w:t>
            </w:r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110" w:type="dxa"/>
          </w:tcPr>
          <w:p w:rsidR="006B5E6E" w:rsidRPr="00F42128" w:rsidRDefault="006B5E6E" w:rsidP="006B5E6E">
            <w:pPr>
              <w:spacing w:before="120" w:after="120"/>
              <w:ind w:right="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08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A48C0" w:rsidRPr="00AE7DDA" w:rsidRDefault="006B5E6E" w:rsidP="006B5E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21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20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15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F4212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:rsidR="00593BE5" w:rsidRDefault="00593BE5" w:rsidP="00593BE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Chưa phát sinh hs/phân công cho công chức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liên quan lĩnh vực phụ trách</w:t>
            </w:r>
          </w:p>
          <w:p w:rsidR="004A48C0" w:rsidRPr="00945379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4253" w:type="dxa"/>
          </w:tcPr>
          <w:p w:rsidR="004A48C0" w:rsidRPr="00C97714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xác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nhận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đầu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đáp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ứng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nguyên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tắc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hoạt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động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cao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4A48C0" w:rsidRDefault="000C3511" w:rsidP="000C35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2599B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 w:rsidR="0022599B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2259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2599B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2259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2599B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993" w:type="dxa"/>
          </w:tcPr>
          <w:p w:rsidR="004A48C0" w:rsidRPr="00945379" w:rsidRDefault="00945379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Trinh</w:t>
            </w:r>
          </w:p>
        </w:tc>
      </w:tr>
      <w:tr w:rsidR="00593BE5" w:rsidRPr="00AE7DDA" w:rsidTr="005C151D">
        <w:tc>
          <w:tcPr>
            <w:tcW w:w="70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253" w:type="dxa"/>
          </w:tcPr>
          <w:p w:rsidR="004A48C0" w:rsidRPr="00C97714" w:rsidRDefault="004A48C0" w:rsidP="00193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Thủ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tục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xác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dự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án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đầu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có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hoặc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lạc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hậu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tiềm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ẩn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cơ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gây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ô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nhiễm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môi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thâm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tài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nguyên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trừ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trường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hợp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thuộc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thẩm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quyền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giải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quyết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Công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nghệ</w:t>
            </w:r>
            <w:proofErr w:type="spellEnd"/>
            <w:r w:rsidRPr="00A94A9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A48C0" w:rsidRPr="00AE7DDA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134" w:type="dxa"/>
          </w:tcPr>
          <w:p w:rsidR="004A48C0" w:rsidRDefault="004A48C0" w:rsidP="00193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E93E47" w:rsidRPr="00C61A1D" w:rsidRDefault="00E93E47" w:rsidP="000C3511">
            <w:pPr>
              <w:pStyle w:val="Heading2"/>
              <w:keepNext w:val="0"/>
              <w:widowControl w:val="0"/>
              <w:tabs>
                <w:tab w:val="left" w:pos="317"/>
              </w:tabs>
              <w:spacing w:after="0"/>
              <w:ind w:left="34"/>
              <w:textAlignment w:val="baselin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- 23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ngày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làm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việc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kể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từ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ngày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nhận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được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hồ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sơ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đầy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đủ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,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hợp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lệ</w:t>
            </w:r>
            <w:proofErr w:type="spellEnd"/>
            <w:r w:rsidRPr="00C61A1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  <w:p w:rsidR="004A48C0" w:rsidRDefault="00E93E47" w:rsidP="000C35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phức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tạp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gram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43 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proofErr w:type="gram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đầy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lệ</w:t>
            </w:r>
            <w:proofErr w:type="spellEnd"/>
            <w:r w:rsidRPr="00C61A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4A48C0" w:rsidRPr="00945379" w:rsidRDefault="00945379" w:rsidP="0094537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Đăng/ Tính</w:t>
            </w:r>
            <w:r w:rsidR="00593BE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593BE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Ngọc/</w:t>
            </w:r>
          </w:p>
        </w:tc>
      </w:tr>
    </w:tbl>
    <w:p w:rsidR="00FE3869" w:rsidRPr="00AE7DDA" w:rsidRDefault="00FE3869" w:rsidP="0019374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E3869" w:rsidRPr="00AE7DDA" w:rsidSect="00C12F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16F"/>
    <w:multiLevelType w:val="hybridMultilevel"/>
    <w:tmpl w:val="272C30E4"/>
    <w:lvl w:ilvl="0" w:tplc="699ACEA8">
      <w:start w:val="1"/>
      <w:numFmt w:val="bullet"/>
      <w:lvlText w:val="-"/>
      <w:lvlJc w:val="left"/>
      <w:pPr>
        <w:ind w:left="2061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5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B8"/>
    <w:rsid w:val="000C3511"/>
    <w:rsid w:val="00121BAB"/>
    <w:rsid w:val="00157FD1"/>
    <w:rsid w:val="00193747"/>
    <w:rsid w:val="0022599B"/>
    <w:rsid w:val="002C2B57"/>
    <w:rsid w:val="00336516"/>
    <w:rsid w:val="003E038A"/>
    <w:rsid w:val="0046506F"/>
    <w:rsid w:val="00473144"/>
    <w:rsid w:val="00494EFB"/>
    <w:rsid w:val="004A48C0"/>
    <w:rsid w:val="00591AC1"/>
    <w:rsid w:val="00593BE5"/>
    <w:rsid w:val="005C151D"/>
    <w:rsid w:val="00652586"/>
    <w:rsid w:val="006B5E6E"/>
    <w:rsid w:val="006E0050"/>
    <w:rsid w:val="006F00D5"/>
    <w:rsid w:val="00740F2F"/>
    <w:rsid w:val="007B3B92"/>
    <w:rsid w:val="00800FB4"/>
    <w:rsid w:val="008057BC"/>
    <w:rsid w:val="00820B67"/>
    <w:rsid w:val="00830889"/>
    <w:rsid w:val="008453BA"/>
    <w:rsid w:val="00945379"/>
    <w:rsid w:val="009777B8"/>
    <w:rsid w:val="00990E84"/>
    <w:rsid w:val="00A94A94"/>
    <w:rsid w:val="00AA3160"/>
    <w:rsid w:val="00AE556D"/>
    <w:rsid w:val="00AE7DDA"/>
    <w:rsid w:val="00BB0F79"/>
    <w:rsid w:val="00BE36A2"/>
    <w:rsid w:val="00C12F74"/>
    <w:rsid w:val="00C44D8B"/>
    <w:rsid w:val="00C526B3"/>
    <w:rsid w:val="00C83B69"/>
    <w:rsid w:val="00C97714"/>
    <w:rsid w:val="00D55996"/>
    <w:rsid w:val="00DA6EFB"/>
    <w:rsid w:val="00E34F28"/>
    <w:rsid w:val="00E84693"/>
    <w:rsid w:val="00E93E47"/>
    <w:rsid w:val="00F0064B"/>
    <w:rsid w:val="00FC767E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44CE93"/>
  <w15:chartTrackingRefBased/>
  <w15:docId w15:val="{0AE0863F-7BE9-465A-B2CF-575F0D88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E93E47"/>
    <w:pPr>
      <w:keepNext/>
      <w:autoSpaceDE w:val="0"/>
      <w:autoSpaceDN w:val="0"/>
      <w:spacing w:after="120" w:line="240" w:lineRule="auto"/>
      <w:jc w:val="both"/>
      <w:outlineLvl w:val="1"/>
    </w:pPr>
    <w:rPr>
      <w:rFonts w:ascii=".VnTime" w:eastAsia="Times New Roman" w:hAnsi=".VnTime" w:cs=".VnTim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E34F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0F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E93E47"/>
    <w:rPr>
      <w:rFonts w:ascii=".VnTime" w:eastAsia="Times New Roman" w:hAnsi=".VnTime" w:cs=".VnTime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B5E6E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B5E6E"/>
    <w:rPr>
      <w:rFonts w:ascii=".VnTime" w:eastAsia="Times New Roman" w:hAnsi=".VnTime" w:cs=".VnTime"/>
      <w:sz w:val="28"/>
      <w:szCs w:val="28"/>
      <w:lang w:val="en-GB"/>
    </w:rPr>
  </w:style>
  <w:style w:type="paragraph" w:styleId="CommentText">
    <w:name w:val="annotation text"/>
    <w:basedOn w:val="Normal"/>
    <w:link w:val="CommentTextChar"/>
    <w:semiHidden/>
    <w:rsid w:val="00830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3088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08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DAT HUYNH</cp:lastModifiedBy>
  <cp:revision>83</cp:revision>
  <cp:lastPrinted>2024-10-29T03:48:00Z</cp:lastPrinted>
  <dcterms:created xsi:type="dcterms:W3CDTF">2024-04-15T09:04:00Z</dcterms:created>
  <dcterms:modified xsi:type="dcterms:W3CDTF">2025-03-07T01:46:00Z</dcterms:modified>
</cp:coreProperties>
</file>